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224F90" w14:textId="77777777" w:rsidR="00865125" w:rsidRPr="003D0FCD" w:rsidRDefault="00865125" w:rsidP="003D0FCD">
      <w:pPr>
        <w:spacing w:after="0" w:line="480" w:lineRule="auto"/>
        <w:jc w:val="center"/>
        <w:rPr>
          <w:rFonts w:cs="Times New Roman"/>
          <w:szCs w:val="24"/>
        </w:rPr>
      </w:pPr>
    </w:p>
    <w:p w14:paraId="3252F0C0" w14:textId="77777777" w:rsidR="00865125" w:rsidRPr="003D0FCD" w:rsidRDefault="00865125" w:rsidP="003D0FCD">
      <w:pPr>
        <w:spacing w:after="0" w:line="480" w:lineRule="auto"/>
        <w:jc w:val="center"/>
        <w:rPr>
          <w:rFonts w:cs="Times New Roman"/>
          <w:szCs w:val="24"/>
        </w:rPr>
      </w:pPr>
    </w:p>
    <w:p w14:paraId="0AB0534C" w14:textId="77777777" w:rsidR="00865125" w:rsidRPr="003D0FCD" w:rsidRDefault="00865125" w:rsidP="003D0FCD">
      <w:pPr>
        <w:spacing w:after="0" w:line="480" w:lineRule="auto"/>
        <w:rPr>
          <w:rFonts w:cs="Times New Roman"/>
          <w:szCs w:val="24"/>
        </w:rPr>
      </w:pPr>
    </w:p>
    <w:p w14:paraId="2978376B" w14:textId="435A6B40" w:rsidR="00865125" w:rsidRPr="003D0FCD" w:rsidRDefault="00865125" w:rsidP="003D0FCD">
      <w:pPr>
        <w:spacing w:after="0" w:line="720" w:lineRule="auto"/>
        <w:jc w:val="center"/>
        <w:rPr>
          <w:rFonts w:cs="Times New Roman"/>
          <w:szCs w:val="24"/>
        </w:rPr>
      </w:pPr>
      <w:r w:rsidRPr="003D0FCD">
        <w:rPr>
          <w:rFonts w:cs="Times New Roman"/>
          <w:szCs w:val="24"/>
        </w:rPr>
        <w:t>HIPAA</w:t>
      </w:r>
      <w:r w:rsidR="003D0FCD" w:rsidRPr="003D0FCD">
        <w:rPr>
          <w:rFonts w:cs="Times New Roman"/>
          <w:szCs w:val="24"/>
        </w:rPr>
        <w:t xml:space="preserve">/Privacy </w:t>
      </w:r>
      <w:r w:rsidRPr="003D0FCD">
        <w:rPr>
          <w:rFonts w:cs="Times New Roman"/>
          <w:szCs w:val="24"/>
        </w:rPr>
        <w:t>Violations and Compliance</w:t>
      </w:r>
    </w:p>
    <w:p w14:paraId="562BAC7D" w14:textId="77777777" w:rsidR="003F7BB2" w:rsidRPr="003F7BB2" w:rsidRDefault="003F7BB2" w:rsidP="003D0FCD">
      <w:pPr>
        <w:spacing w:after="0" w:line="720" w:lineRule="auto"/>
        <w:jc w:val="center"/>
        <w:rPr>
          <w:rFonts w:cs="Times New Roman"/>
          <w:szCs w:val="24"/>
        </w:rPr>
      </w:pPr>
      <w:r w:rsidRPr="003F7BB2">
        <w:rPr>
          <w:rFonts w:cs="Times New Roman"/>
          <w:szCs w:val="24"/>
        </w:rPr>
        <w:t>Barbara Onwona-Appiah</w:t>
      </w:r>
    </w:p>
    <w:p w14:paraId="64850B41" w14:textId="77777777" w:rsidR="003F7BB2" w:rsidRPr="003F7BB2" w:rsidRDefault="003F7BB2" w:rsidP="003D0FCD">
      <w:pPr>
        <w:spacing w:after="0" w:line="720" w:lineRule="auto"/>
        <w:jc w:val="center"/>
        <w:rPr>
          <w:rFonts w:cs="Times New Roman"/>
          <w:szCs w:val="24"/>
        </w:rPr>
      </w:pPr>
      <w:r w:rsidRPr="003F7BB2">
        <w:rPr>
          <w:rFonts w:cs="Times New Roman"/>
          <w:szCs w:val="24"/>
        </w:rPr>
        <w:t>Capella University</w:t>
      </w:r>
    </w:p>
    <w:p w14:paraId="5F0DA044" w14:textId="77777777" w:rsidR="003F7BB2" w:rsidRPr="003F7BB2" w:rsidRDefault="003F7BB2" w:rsidP="003D0FCD">
      <w:pPr>
        <w:spacing w:after="0" w:line="720" w:lineRule="auto"/>
        <w:jc w:val="center"/>
        <w:rPr>
          <w:rFonts w:cs="Times New Roman"/>
          <w:szCs w:val="24"/>
        </w:rPr>
      </w:pPr>
      <w:r w:rsidRPr="003F7BB2">
        <w:rPr>
          <w:rFonts w:cs="Times New Roman"/>
          <w:szCs w:val="24"/>
        </w:rPr>
        <w:t>Patient Safety and Quality Improvement in Health Care</w:t>
      </w:r>
    </w:p>
    <w:p w14:paraId="28CA40DF" w14:textId="77777777" w:rsidR="003F7BB2" w:rsidRPr="003F7BB2" w:rsidRDefault="003F7BB2" w:rsidP="003D0FCD">
      <w:pPr>
        <w:spacing w:after="0" w:line="720" w:lineRule="auto"/>
        <w:jc w:val="center"/>
        <w:rPr>
          <w:rFonts w:cs="Times New Roman"/>
          <w:szCs w:val="24"/>
        </w:rPr>
      </w:pPr>
      <w:r w:rsidRPr="003F7BB2">
        <w:rPr>
          <w:rFonts w:cs="Times New Roman"/>
          <w:szCs w:val="24"/>
        </w:rPr>
        <w:t>July 2020</w:t>
      </w:r>
    </w:p>
    <w:p w14:paraId="6C4EF8D1" w14:textId="21FF31F1" w:rsidR="00865125" w:rsidRPr="003D0FCD" w:rsidRDefault="00865125" w:rsidP="003D0FCD">
      <w:pPr>
        <w:spacing w:after="0" w:line="480" w:lineRule="auto"/>
        <w:jc w:val="center"/>
        <w:rPr>
          <w:rFonts w:cs="Times New Roman"/>
          <w:b/>
          <w:bCs/>
          <w:szCs w:val="24"/>
        </w:rPr>
      </w:pPr>
      <w:r w:rsidRPr="003D0FCD">
        <w:rPr>
          <w:rFonts w:cs="Times New Roman"/>
          <w:b/>
          <w:bCs/>
          <w:szCs w:val="24"/>
        </w:rPr>
        <w:br w:type="page"/>
      </w:r>
    </w:p>
    <w:p w14:paraId="6F008066" w14:textId="77777777" w:rsidR="003D0FCD" w:rsidRPr="003D0FCD" w:rsidRDefault="003D0FCD" w:rsidP="003D0FCD">
      <w:pPr>
        <w:spacing w:after="0" w:line="480" w:lineRule="auto"/>
        <w:jc w:val="center"/>
        <w:rPr>
          <w:rFonts w:eastAsia="Times New Roman" w:cs="Times New Roman"/>
          <w:color w:val="0E101A"/>
          <w:szCs w:val="24"/>
        </w:rPr>
      </w:pPr>
      <w:r w:rsidRPr="003D0FCD">
        <w:rPr>
          <w:rFonts w:eastAsia="Times New Roman" w:cs="Times New Roman"/>
          <w:b/>
          <w:bCs/>
          <w:color w:val="0E101A"/>
          <w:szCs w:val="24"/>
        </w:rPr>
        <w:lastRenderedPageBreak/>
        <w:t>Introduction</w:t>
      </w:r>
    </w:p>
    <w:p w14:paraId="014AC0CB" w14:textId="40A267D4" w:rsidR="003D0FCD" w:rsidRDefault="003D0FCD" w:rsidP="003D0FCD">
      <w:pPr>
        <w:spacing w:after="0" w:line="480" w:lineRule="auto"/>
        <w:ind w:firstLine="720"/>
        <w:rPr>
          <w:rFonts w:eastAsia="Times New Roman" w:cs="Times New Roman"/>
          <w:color w:val="0E101A"/>
          <w:szCs w:val="24"/>
        </w:rPr>
      </w:pPr>
      <w:r w:rsidRPr="003D0FCD">
        <w:rPr>
          <w:rFonts w:eastAsia="Times New Roman" w:cs="Times New Roman"/>
          <w:color w:val="0E101A"/>
          <w:szCs w:val="24"/>
        </w:rPr>
        <w:t>Human healthcare is crucial in improving human health, and one of the principal elements that will enhance human healthcare is research on health issues. Ethical health research and privacy protections offer significant and groundbreaking benefits to society. Protection of patient privacy has been vital in healthcare as through patient privacy, the interests of the individuals are protected. Protecting the privacy, confidentiality, and security of information on a patient’s health remains a crucial element as theorists like (</w:t>
      </w:r>
      <w:proofErr w:type="spellStart"/>
      <w:r w:rsidRPr="003D0FCD">
        <w:rPr>
          <w:rFonts w:eastAsia="Times New Roman" w:cs="Times New Roman"/>
          <w:color w:val="0E101A"/>
          <w:szCs w:val="24"/>
        </w:rPr>
        <w:t>Gostin</w:t>
      </w:r>
      <w:proofErr w:type="spellEnd"/>
      <w:r w:rsidRPr="003D0FCD">
        <w:rPr>
          <w:rFonts w:eastAsia="Times New Roman" w:cs="Times New Roman"/>
          <w:color w:val="0E101A"/>
          <w:szCs w:val="24"/>
        </w:rPr>
        <w:t xml:space="preserve">, </w:t>
      </w:r>
      <w:proofErr w:type="spellStart"/>
      <w:r w:rsidRPr="003D0FCD">
        <w:rPr>
          <w:rFonts w:eastAsia="Times New Roman" w:cs="Times New Roman"/>
          <w:color w:val="0E101A"/>
          <w:szCs w:val="24"/>
        </w:rPr>
        <w:t>Levit</w:t>
      </w:r>
      <w:proofErr w:type="spellEnd"/>
      <w:r w:rsidRPr="003D0FCD">
        <w:rPr>
          <w:rFonts w:eastAsia="Times New Roman" w:cs="Times New Roman"/>
          <w:color w:val="0E101A"/>
          <w:szCs w:val="24"/>
        </w:rPr>
        <w:t>, &amp; Nass, 2009) Fried, 2008, Moore, 2005 assert is applicability. They all agree that through respect of privacy, the human is given their moral uniqueness. Moreover, American society regards privacy, individual rights, personal choices, and the private sphere as essential issues in an individual’s life.</w:t>
      </w:r>
    </w:p>
    <w:p w14:paraId="317612B3" w14:textId="77777777" w:rsidR="003D0FCD" w:rsidRPr="003D0FCD" w:rsidRDefault="003D0FCD" w:rsidP="003D0FCD">
      <w:pPr>
        <w:spacing w:after="0" w:line="480" w:lineRule="auto"/>
        <w:ind w:firstLine="720"/>
        <w:rPr>
          <w:rFonts w:eastAsia="Times New Roman" w:cs="Times New Roman"/>
          <w:color w:val="0E101A"/>
          <w:szCs w:val="24"/>
        </w:rPr>
      </w:pPr>
    </w:p>
    <w:p w14:paraId="2BD2E96A" w14:textId="77777777" w:rsidR="003D0FCD" w:rsidRPr="003D0FCD" w:rsidRDefault="003D0FCD" w:rsidP="003D0FCD">
      <w:pPr>
        <w:spacing w:after="0" w:line="480" w:lineRule="auto"/>
        <w:ind w:firstLine="720"/>
        <w:rPr>
          <w:rFonts w:eastAsia="Times New Roman" w:cs="Times New Roman"/>
          <w:color w:val="0E101A"/>
          <w:szCs w:val="24"/>
        </w:rPr>
      </w:pPr>
      <w:r w:rsidRPr="003D0FCD">
        <w:rPr>
          <w:rFonts w:eastAsia="Times New Roman" w:cs="Times New Roman"/>
          <w:color w:val="0E101A"/>
          <w:szCs w:val="24"/>
        </w:rPr>
        <w:t>Medical records are categorized as essential and most private information in the field of healthcare. Medical records are related to an individual’s most private issues, as most of their weaknesses are addressed through their medical records. Medical records constitute a patient’s mental and physical health and, in some cases, explicate information on an individual’s social behavior, unique relationships, and financial status (</w:t>
      </w:r>
      <w:proofErr w:type="spellStart"/>
      <w:r w:rsidRPr="003D0FCD">
        <w:rPr>
          <w:rFonts w:eastAsia="Times New Roman" w:cs="Times New Roman"/>
          <w:color w:val="0E101A"/>
          <w:szCs w:val="24"/>
        </w:rPr>
        <w:t>Gostin</w:t>
      </w:r>
      <w:proofErr w:type="spellEnd"/>
      <w:r w:rsidRPr="003D0FCD">
        <w:rPr>
          <w:rFonts w:eastAsia="Times New Roman" w:cs="Times New Roman"/>
          <w:color w:val="0E101A"/>
          <w:szCs w:val="24"/>
        </w:rPr>
        <w:t xml:space="preserve">, </w:t>
      </w:r>
      <w:proofErr w:type="spellStart"/>
      <w:r w:rsidRPr="003D0FCD">
        <w:rPr>
          <w:rFonts w:eastAsia="Times New Roman" w:cs="Times New Roman"/>
          <w:color w:val="0E101A"/>
          <w:szCs w:val="24"/>
        </w:rPr>
        <w:t>Levit</w:t>
      </w:r>
      <w:proofErr w:type="spellEnd"/>
      <w:r w:rsidRPr="003D0FCD">
        <w:rPr>
          <w:rFonts w:eastAsia="Times New Roman" w:cs="Times New Roman"/>
          <w:color w:val="0E101A"/>
          <w:szCs w:val="24"/>
        </w:rPr>
        <w:t>, &amp; Nass, 2009). Surveys show that medical privacy is one of the most observed issues in healthcare by many Americans. With the increasing technological advances and technology-related privacy breaches, medical privacy remains significant more than ever. This report sought to address the issue of medical confidentiality in healthcare and how it affects patient safety. Moreover, the implacability of the healthcare organizations' issue and the recommendations to avoid medical privacy violations would be discussed coming up with a comprehensive and self-explanatory assertion on how the healthcare systems can go about the various medical privacy regulations set forth by the IOM.</w:t>
      </w:r>
    </w:p>
    <w:p w14:paraId="55514DCA" w14:textId="77777777" w:rsidR="003D0FCD" w:rsidRPr="003D0FCD" w:rsidRDefault="003D0FCD" w:rsidP="003D0FCD">
      <w:pPr>
        <w:spacing w:after="0" w:line="480" w:lineRule="auto"/>
        <w:rPr>
          <w:rFonts w:eastAsia="Times New Roman" w:cs="Times New Roman"/>
          <w:color w:val="0E101A"/>
          <w:szCs w:val="24"/>
        </w:rPr>
      </w:pPr>
    </w:p>
    <w:p w14:paraId="2B223243" w14:textId="77777777" w:rsidR="003D0FCD" w:rsidRPr="003D0FCD" w:rsidRDefault="003D0FCD" w:rsidP="003D0FCD">
      <w:pPr>
        <w:spacing w:after="0" w:line="480" w:lineRule="auto"/>
        <w:jc w:val="center"/>
        <w:rPr>
          <w:rFonts w:eastAsia="Times New Roman" w:cs="Times New Roman"/>
          <w:color w:val="0E101A"/>
          <w:szCs w:val="24"/>
        </w:rPr>
      </w:pPr>
      <w:r w:rsidRPr="003D0FCD">
        <w:rPr>
          <w:rFonts w:eastAsia="Times New Roman" w:cs="Times New Roman"/>
          <w:b/>
          <w:bCs/>
          <w:color w:val="0E101A"/>
          <w:szCs w:val="24"/>
        </w:rPr>
        <w:t>The legal approach</w:t>
      </w:r>
    </w:p>
    <w:p w14:paraId="59EEF779" w14:textId="77777777" w:rsidR="003D0FCD" w:rsidRPr="003D0FCD" w:rsidRDefault="003D0FCD" w:rsidP="00965B88">
      <w:pPr>
        <w:spacing w:after="0" w:line="480" w:lineRule="auto"/>
        <w:ind w:firstLine="720"/>
        <w:rPr>
          <w:rFonts w:eastAsia="Times New Roman" w:cs="Times New Roman"/>
          <w:color w:val="0E101A"/>
          <w:szCs w:val="24"/>
        </w:rPr>
      </w:pPr>
      <w:r w:rsidRPr="003D0FCD">
        <w:rPr>
          <w:rFonts w:eastAsia="Times New Roman" w:cs="Times New Roman"/>
          <w:color w:val="0E101A"/>
          <w:szCs w:val="24"/>
        </w:rPr>
        <w:t>The patient safety and Quality Improvement Act is famously known as PSQIA postulates a voluntary reporting system, which is meant to enhance the data available and assessable to resolve the safety of patients and issues in healthcare (HHS.GOV, 2020). The PSQIA administers Federal privilege and confidentiality protections as they sought to encourage reporting and medical error analysis, albeit the protection work product.</w:t>
      </w:r>
    </w:p>
    <w:p w14:paraId="3F98D392" w14:textId="43378D1E" w:rsidR="003D0FCD" w:rsidRDefault="003D0FCD" w:rsidP="00965B88">
      <w:pPr>
        <w:spacing w:after="0" w:line="480" w:lineRule="auto"/>
        <w:ind w:firstLine="720"/>
        <w:rPr>
          <w:rFonts w:eastAsia="Times New Roman" w:cs="Times New Roman"/>
          <w:color w:val="0E101A"/>
          <w:szCs w:val="24"/>
        </w:rPr>
      </w:pPr>
      <w:r w:rsidRPr="003D0FCD">
        <w:rPr>
          <w:rFonts w:eastAsia="Times New Roman" w:cs="Times New Roman"/>
          <w:color w:val="0E101A"/>
          <w:szCs w:val="24"/>
        </w:rPr>
        <w:t xml:space="preserve">The Health Insurance Portability and Accountability Act of 1996 covers issues to do with medical privacy through the HIPAA security and privacy rules. The HIPAA privacy rule points out on the nation-wide standards on the protection of health information. In contrast, the HIPAA security rule offers the standards for how medical records should be transferred through electronic means (HHS.GOV, 2020). The department of health and human services office of the civil rights </w:t>
      </w:r>
      <w:proofErr w:type="gramStart"/>
      <w:r w:rsidRPr="003D0FCD">
        <w:rPr>
          <w:rFonts w:eastAsia="Times New Roman" w:cs="Times New Roman"/>
          <w:color w:val="0E101A"/>
          <w:szCs w:val="24"/>
        </w:rPr>
        <w:t>is in charge of</w:t>
      </w:r>
      <w:proofErr w:type="gramEnd"/>
      <w:r w:rsidRPr="003D0FCD">
        <w:rPr>
          <w:rFonts w:eastAsia="Times New Roman" w:cs="Times New Roman"/>
          <w:color w:val="0E101A"/>
          <w:szCs w:val="24"/>
        </w:rPr>
        <w:t xml:space="preserve"> the PSQIA and also oversees how institutions comply with the HIPAA by ensuring that CEs and Bas store medical records in the proper and allowable ways.</w:t>
      </w:r>
    </w:p>
    <w:p w14:paraId="452D8DEB" w14:textId="77777777" w:rsidR="00965B88" w:rsidRPr="003D0FCD" w:rsidRDefault="00965B88" w:rsidP="00965B88">
      <w:pPr>
        <w:spacing w:after="0" w:line="480" w:lineRule="auto"/>
        <w:ind w:firstLine="720"/>
        <w:rPr>
          <w:rFonts w:eastAsia="Times New Roman" w:cs="Times New Roman"/>
          <w:color w:val="0E101A"/>
          <w:szCs w:val="24"/>
        </w:rPr>
      </w:pPr>
    </w:p>
    <w:p w14:paraId="64F9501E" w14:textId="77777777" w:rsidR="003D0FCD" w:rsidRPr="003D0FCD" w:rsidRDefault="003D0FCD" w:rsidP="00965B88">
      <w:pPr>
        <w:spacing w:after="0" w:line="480" w:lineRule="auto"/>
        <w:ind w:firstLine="720"/>
        <w:jc w:val="center"/>
        <w:rPr>
          <w:rFonts w:eastAsia="Times New Roman" w:cs="Times New Roman"/>
          <w:color w:val="0E101A"/>
          <w:szCs w:val="24"/>
        </w:rPr>
      </w:pPr>
      <w:r w:rsidRPr="003D0FCD">
        <w:rPr>
          <w:rFonts w:eastAsia="Times New Roman" w:cs="Times New Roman"/>
          <w:b/>
          <w:bCs/>
          <w:color w:val="0E101A"/>
          <w:szCs w:val="24"/>
        </w:rPr>
        <w:t>Potential Security Threat and Implications</w:t>
      </w:r>
    </w:p>
    <w:p w14:paraId="4B83850F" w14:textId="77777777" w:rsidR="003D0FCD" w:rsidRPr="003D0FCD" w:rsidRDefault="003D0FCD" w:rsidP="00965B88">
      <w:pPr>
        <w:spacing w:after="0" w:line="480" w:lineRule="auto"/>
        <w:ind w:firstLine="720"/>
        <w:rPr>
          <w:rFonts w:eastAsia="Times New Roman" w:cs="Times New Roman"/>
          <w:color w:val="0E101A"/>
          <w:szCs w:val="24"/>
        </w:rPr>
      </w:pPr>
      <w:r w:rsidRPr="003D0FCD">
        <w:rPr>
          <w:rFonts w:eastAsia="Times New Roman" w:cs="Times New Roman"/>
          <w:color w:val="0E101A"/>
          <w:szCs w:val="24"/>
        </w:rPr>
        <w:t xml:space="preserve">Under the HIPAA privacy and security rule, privacy of the protected health information of patients and secures this ePHI data when transferred, retrieved, and stored electronically. Based on the case study, there were numerous violations in the privacy and security of patient medical records that are likely to harm both the institution and the patient. Violating HIPAA rules leads to institutions to suffer from inevitable consequences, such as paying fines. Fines for HIPAA violations are applicable by the department of health and human services under the office of the OCR in situations even where there is no breath to PHI (HHS.GOV, 2020). The </w:t>
      </w:r>
      <w:r w:rsidRPr="003D0FCD">
        <w:rPr>
          <w:rFonts w:eastAsia="Times New Roman" w:cs="Times New Roman"/>
          <w:color w:val="0E101A"/>
          <w:szCs w:val="24"/>
        </w:rPr>
        <w:lastRenderedPageBreak/>
        <w:t>level of negligence determines these fines by the organization if there is a potential breach that risk the lives of patients and how many records have been exposed during the violation. Attributable ignorance accrues a fine of around $100 - $50,000. Moreover, fines might even reach $1.5 million depending on the severity of the breach.</w:t>
      </w:r>
    </w:p>
    <w:p w14:paraId="40306AD8" w14:textId="77777777" w:rsidR="00965B88" w:rsidRDefault="00965B88" w:rsidP="003D0FCD">
      <w:pPr>
        <w:spacing w:after="0" w:line="480" w:lineRule="auto"/>
        <w:rPr>
          <w:rFonts w:eastAsia="Times New Roman" w:cs="Times New Roman"/>
          <w:b/>
          <w:bCs/>
          <w:color w:val="0E101A"/>
          <w:szCs w:val="24"/>
        </w:rPr>
      </w:pPr>
    </w:p>
    <w:p w14:paraId="0F947B73" w14:textId="7FAA37ED" w:rsidR="003D0FCD" w:rsidRPr="003D0FCD" w:rsidRDefault="003D0FCD" w:rsidP="00965B88">
      <w:pPr>
        <w:spacing w:after="0" w:line="480" w:lineRule="auto"/>
        <w:jc w:val="center"/>
        <w:rPr>
          <w:rFonts w:eastAsia="Times New Roman" w:cs="Times New Roman"/>
          <w:color w:val="0E101A"/>
          <w:szCs w:val="24"/>
        </w:rPr>
      </w:pPr>
      <w:r w:rsidRPr="003D0FCD">
        <w:rPr>
          <w:rFonts w:eastAsia="Times New Roman" w:cs="Times New Roman"/>
          <w:b/>
          <w:bCs/>
          <w:color w:val="0E101A"/>
          <w:szCs w:val="24"/>
        </w:rPr>
        <w:t>Risk assessment and management</w:t>
      </w:r>
    </w:p>
    <w:p w14:paraId="4E50ACF0" w14:textId="77777777" w:rsidR="003D0FCD" w:rsidRPr="003D0FCD" w:rsidRDefault="003D0FCD" w:rsidP="00965B88">
      <w:pPr>
        <w:spacing w:after="0" w:line="480" w:lineRule="auto"/>
        <w:ind w:firstLine="720"/>
        <w:rPr>
          <w:rFonts w:eastAsia="Times New Roman" w:cs="Times New Roman"/>
          <w:color w:val="0E101A"/>
          <w:szCs w:val="24"/>
        </w:rPr>
      </w:pPr>
      <w:r w:rsidRPr="003D0FCD">
        <w:rPr>
          <w:rFonts w:eastAsia="Times New Roman" w:cs="Times New Roman"/>
          <w:color w:val="0E101A"/>
          <w:szCs w:val="24"/>
        </w:rPr>
        <w:t>Medical institutions are required to perform regular and thorough risk analyses as part of their security checks and protocols in their management practices. Under the HIPAA security rule, risk analysis has an implication on the safeguarding guidelines to be used. The risk analysis process includes evaluating the likelihood of a security breach and the potential risk on the e-PHI. Methods on how to establish and implement the required security measures that address the identified risks in the risk analysis (HHS.GOV, 2020).</w:t>
      </w:r>
    </w:p>
    <w:p w14:paraId="08075BF1" w14:textId="77777777" w:rsidR="003D0FCD" w:rsidRPr="003D0FCD" w:rsidRDefault="003D0FCD" w:rsidP="00965B88">
      <w:pPr>
        <w:spacing w:after="0" w:line="480" w:lineRule="auto"/>
        <w:ind w:firstLine="720"/>
        <w:rPr>
          <w:rFonts w:eastAsia="Times New Roman" w:cs="Times New Roman"/>
          <w:color w:val="0E101A"/>
          <w:szCs w:val="24"/>
        </w:rPr>
      </w:pPr>
      <w:r w:rsidRPr="003D0FCD">
        <w:rPr>
          <w:rFonts w:eastAsia="Times New Roman" w:cs="Times New Roman"/>
          <w:color w:val="0E101A"/>
          <w:szCs w:val="24"/>
        </w:rPr>
        <w:t> Lastly, the risks analysis process documents the chosen security measures and how they are adopted, maintaining continuous, reasonable, and acceptable protection. In addition to the risk analysis and management process that medical institutions take to prevent violations of the HIPAA guidelines, there are administrative, physical, and technical safeguards adopted by these institutions.</w:t>
      </w:r>
    </w:p>
    <w:p w14:paraId="6C462CEB" w14:textId="77777777" w:rsidR="00965B88" w:rsidRDefault="00965B88" w:rsidP="003D0FCD">
      <w:pPr>
        <w:spacing w:after="0" w:line="480" w:lineRule="auto"/>
        <w:rPr>
          <w:rFonts w:eastAsia="Times New Roman" w:cs="Times New Roman"/>
          <w:b/>
          <w:bCs/>
          <w:color w:val="0E101A"/>
          <w:szCs w:val="24"/>
        </w:rPr>
      </w:pPr>
    </w:p>
    <w:p w14:paraId="1D5EDD7B" w14:textId="1C7FC21A" w:rsidR="003D0FCD" w:rsidRPr="003D0FCD" w:rsidRDefault="003D0FCD" w:rsidP="00965B88">
      <w:pPr>
        <w:spacing w:after="0" w:line="480" w:lineRule="auto"/>
        <w:jc w:val="center"/>
        <w:rPr>
          <w:rFonts w:eastAsia="Times New Roman" w:cs="Times New Roman"/>
          <w:color w:val="0E101A"/>
          <w:szCs w:val="24"/>
        </w:rPr>
      </w:pPr>
      <w:r w:rsidRPr="003D0FCD">
        <w:rPr>
          <w:rFonts w:eastAsia="Times New Roman" w:cs="Times New Roman"/>
          <w:b/>
          <w:bCs/>
          <w:color w:val="0E101A"/>
          <w:szCs w:val="24"/>
        </w:rPr>
        <w:t>Administrative safeguards</w:t>
      </w:r>
    </w:p>
    <w:p w14:paraId="5B63829C" w14:textId="77777777" w:rsidR="003D0FCD" w:rsidRPr="003D0FCD" w:rsidRDefault="003D0FCD" w:rsidP="00965B88">
      <w:pPr>
        <w:spacing w:after="0" w:line="480" w:lineRule="auto"/>
        <w:ind w:firstLine="720"/>
        <w:rPr>
          <w:rFonts w:eastAsia="Times New Roman" w:cs="Times New Roman"/>
          <w:color w:val="0E101A"/>
          <w:szCs w:val="24"/>
        </w:rPr>
      </w:pPr>
      <w:r w:rsidRPr="003D0FCD">
        <w:rPr>
          <w:rFonts w:eastAsia="Times New Roman" w:cs="Times New Roman"/>
          <w:color w:val="0E101A"/>
          <w:szCs w:val="24"/>
        </w:rPr>
        <w:t xml:space="preserve">The administrative safeguards include security management processes that incorporate identification and analysis of risks to the e-PHI and how security measures are implemented to reduce or eliminate the identified risks to reasonable levels. Moreover, there must be security personnel that is designated by the medical institution whose responsibility is to develop and </w:t>
      </w:r>
      <w:r w:rsidRPr="003D0FCD">
        <w:rPr>
          <w:rFonts w:eastAsia="Times New Roman" w:cs="Times New Roman"/>
          <w:color w:val="0E101A"/>
          <w:szCs w:val="24"/>
        </w:rPr>
        <w:lastRenderedPageBreak/>
        <w:t>implement the security policies and procedures (HHS.GOV, 2020). Access to PHI should be concurrent with the HIPAA privacy rule hence limiting who has access to the data and when. Institutions are expected to adopt a role-based approach to gaining access to e-PHI data within the institution.</w:t>
      </w:r>
    </w:p>
    <w:p w14:paraId="13968D17" w14:textId="77777777" w:rsidR="003D0FCD" w:rsidRPr="003D0FCD" w:rsidRDefault="003D0FCD" w:rsidP="00965B88">
      <w:pPr>
        <w:spacing w:after="0" w:line="480" w:lineRule="auto"/>
        <w:ind w:firstLine="720"/>
        <w:rPr>
          <w:rFonts w:eastAsia="Times New Roman" w:cs="Times New Roman"/>
          <w:color w:val="0E101A"/>
          <w:szCs w:val="24"/>
        </w:rPr>
      </w:pPr>
      <w:r w:rsidRPr="003D0FCD">
        <w:rPr>
          <w:rFonts w:eastAsia="Times New Roman" w:cs="Times New Roman"/>
          <w:color w:val="0E101A"/>
          <w:szCs w:val="24"/>
        </w:rPr>
        <w:t>Institutions are also expected to conduct frequent workforce training about the HIPAA guidelines and PSQIA on safeguarding medical data. Moreover, there should be penalties set by the institutions when there are violations of these security guidelines by its employees. They should also conduct regular evaluations to check how effective their security measures are when it comes to the protection of e-PHI.</w:t>
      </w:r>
    </w:p>
    <w:p w14:paraId="48572C4E" w14:textId="77777777" w:rsidR="00965B88" w:rsidRDefault="00965B88" w:rsidP="003D0FCD">
      <w:pPr>
        <w:spacing w:after="0" w:line="480" w:lineRule="auto"/>
        <w:rPr>
          <w:rFonts w:eastAsia="Times New Roman" w:cs="Times New Roman"/>
          <w:b/>
          <w:bCs/>
          <w:color w:val="0E101A"/>
          <w:szCs w:val="24"/>
        </w:rPr>
      </w:pPr>
    </w:p>
    <w:p w14:paraId="11AF6CD9" w14:textId="5B362C87" w:rsidR="003D0FCD" w:rsidRPr="003D0FCD" w:rsidRDefault="003D0FCD" w:rsidP="00965B88">
      <w:pPr>
        <w:spacing w:after="0" w:line="480" w:lineRule="auto"/>
        <w:jc w:val="center"/>
        <w:rPr>
          <w:rFonts w:eastAsia="Times New Roman" w:cs="Times New Roman"/>
          <w:color w:val="0E101A"/>
          <w:szCs w:val="24"/>
        </w:rPr>
      </w:pPr>
      <w:r w:rsidRPr="003D0FCD">
        <w:rPr>
          <w:rFonts w:eastAsia="Times New Roman" w:cs="Times New Roman"/>
          <w:b/>
          <w:bCs/>
          <w:color w:val="0E101A"/>
          <w:szCs w:val="24"/>
        </w:rPr>
        <w:t>Physical safeguards</w:t>
      </w:r>
    </w:p>
    <w:p w14:paraId="11EF6ADF" w14:textId="0D3868F6" w:rsidR="003D0FCD" w:rsidRDefault="003D0FCD" w:rsidP="00965B88">
      <w:pPr>
        <w:spacing w:after="0" w:line="480" w:lineRule="auto"/>
        <w:ind w:firstLine="720"/>
        <w:rPr>
          <w:rFonts w:eastAsia="Times New Roman" w:cs="Times New Roman"/>
          <w:color w:val="0E101A"/>
          <w:szCs w:val="24"/>
        </w:rPr>
      </w:pPr>
      <w:r w:rsidRPr="003D0FCD">
        <w:rPr>
          <w:rFonts w:eastAsia="Times New Roman" w:cs="Times New Roman"/>
          <w:color w:val="0E101A"/>
          <w:szCs w:val="24"/>
        </w:rPr>
        <w:t>Physical safeguards pertain to facility access and control, where the institution should have physical restrictions that prevent access to the institution by unauthorized personnel. Also, the institution should be able to provide guidelines and directions on how e-PHI is transferred, removed, disposed, and re-used to facilitate adequate protection of the e-PHI.</w:t>
      </w:r>
      <w:r w:rsidR="002B2ADA">
        <w:rPr>
          <w:rFonts w:eastAsia="Times New Roman" w:cs="Times New Roman"/>
          <w:color w:val="0E101A"/>
          <w:szCs w:val="24"/>
        </w:rPr>
        <w:t xml:space="preserve"> </w:t>
      </w:r>
      <w:r w:rsidR="00E32352">
        <w:rPr>
          <w:rFonts w:eastAsia="Times New Roman" w:cs="Times New Roman"/>
          <w:color w:val="0E101A"/>
          <w:szCs w:val="24"/>
        </w:rPr>
        <w:t>Implementing reasonable and appropriate physical safeguards for information systems and related equipment in the facilities are especially important providing professional services and security for both the patient and the health facility. Secondary, compliance with the Physical Safeguards standards will require an evaluation</w:t>
      </w:r>
      <w:r w:rsidR="00E32352" w:rsidRPr="00E32352">
        <w:rPr>
          <w:rFonts w:eastAsia="Times New Roman" w:cs="Times New Roman"/>
          <w:color w:val="0E101A"/>
          <w:szCs w:val="24"/>
        </w:rPr>
        <w:t xml:space="preserve"> of the security controls already in place, an accurate and thorough risk analysis, and a series of documented solutions derived from </w:t>
      </w:r>
      <w:r w:rsidR="00E32352" w:rsidRPr="00E32352">
        <w:rPr>
          <w:rFonts w:eastAsia="Times New Roman" w:cs="Times New Roman"/>
          <w:color w:val="0E101A"/>
          <w:szCs w:val="24"/>
        </w:rPr>
        <w:t>several</w:t>
      </w:r>
      <w:r w:rsidR="00E32352" w:rsidRPr="00E32352">
        <w:rPr>
          <w:rFonts w:eastAsia="Times New Roman" w:cs="Times New Roman"/>
          <w:color w:val="0E101A"/>
          <w:szCs w:val="24"/>
        </w:rPr>
        <w:t xml:space="preserve"> factors unique to each covered entity</w:t>
      </w:r>
      <w:r w:rsidR="00E32352">
        <w:rPr>
          <w:rFonts w:eastAsia="Times New Roman" w:cs="Times New Roman"/>
          <w:color w:val="0E101A"/>
          <w:szCs w:val="24"/>
        </w:rPr>
        <w:t xml:space="preserve"> </w:t>
      </w:r>
      <w:sdt>
        <w:sdtPr>
          <w:rPr>
            <w:rFonts w:eastAsia="Times New Roman" w:cs="Times New Roman"/>
            <w:color w:val="0E101A"/>
            <w:szCs w:val="24"/>
          </w:rPr>
          <w:id w:val="872121147"/>
          <w:citation/>
        </w:sdtPr>
        <w:sdtContent>
          <w:r w:rsidR="00E32352">
            <w:rPr>
              <w:rFonts w:eastAsia="Times New Roman" w:cs="Times New Roman"/>
              <w:color w:val="0E101A"/>
              <w:szCs w:val="24"/>
            </w:rPr>
            <w:fldChar w:fldCharType="begin"/>
          </w:r>
          <w:r w:rsidR="00695AF1">
            <w:rPr>
              <w:rFonts w:eastAsia="Times New Roman" w:cs="Times New Roman"/>
              <w:color w:val="0E101A"/>
              <w:szCs w:val="24"/>
            </w:rPr>
            <w:instrText xml:space="preserve">CITATION Sec07 \l 1033 </w:instrText>
          </w:r>
          <w:r w:rsidR="00E32352">
            <w:rPr>
              <w:rFonts w:eastAsia="Times New Roman" w:cs="Times New Roman"/>
              <w:color w:val="0E101A"/>
              <w:szCs w:val="24"/>
            </w:rPr>
            <w:fldChar w:fldCharType="separate"/>
          </w:r>
          <w:r w:rsidR="00695AF1" w:rsidRPr="00695AF1">
            <w:rPr>
              <w:rFonts w:eastAsia="Times New Roman" w:cs="Times New Roman"/>
              <w:noProof/>
              <w:color w:val="0E101A"/>
              <w:szCs w:val="24"/>
            </w:rPr>
            <w:t>(HIPAA, 2007)</w:t>
          </w:r>
          <w:r w:rsidR="00E32352">
            <w:rPr>
              <w:rFonts w:eastAsia="Times New Roman" w:cs="Times New Roman"/>
              <w:color w:val="0E101A"/>
              <w:szCs w:val="24"/>
            </w:rPr>
            <w:fldChar w:fldCharType="end"/>
          </w:r>
        </w:sdtContent>
      </w:sdt>
      <w:r w:rsidR="00695AF1">
        <w:rPr>
          <w:rFonts w:eastAsia="Times New Roman" w:cs="Times New Roman"/>
          <w:color w:val="0E101A"/>
          <w:szCs w:val="24"/>
        </w:rPr>
        <w:t>.</w:t>
      </w:r>
    </w:p>
    <w:p w14:paraId="481F6FB2" w14:textId="77777777" w:rsidR="00695AF1" w:rsidRPr="003D0FCD" w:rsidRDefault="00695AF1" w:rsidP="00965B88">
      <w:pPr>
        <w:spacing w:after="0" w:line="480" w:lineRule="auto"/>
        <w:ind w:firstLine="720"/>
        <w:rPr>
          <w:rFonts w:eastAsia="Times New Roman" w:cs="Times New Roman"/>
          <w:color w:val="0E101A"/>
          <w:szCs w:val="24"/>
        </w:rPr>
      </w:pPr>
    </w:p>
    <w:p w14:paraId="14F10C4E" w14:textId="77777777" w:rsidR="00965B88" w:rsidRDefault="00965B88" w:rsidP="003D0FCD">
      <w:pPr>
        <w:spacing w:after="0" w:line="480" w:lineRule="auto"/>
        <w:rPr>
          <w:rFonts w:eastAsia="Times New Roman" w:cs="Times New Roman"/>
          <w:b/>
          <w:bCs/>
          <w:color w:val="0E101A"/>
          <w:szCs w:val="24"/>
        </w:rPr>
      </w:pPr>
    </w:p>
    <w:p w14:paraId="28E39CAB" w14:textId="534B9070" w:rsidR="003D0FCD" w:rsidRPr="003D0FCD" w:rsidRDefault="003D0FCD" w:rsidP="00965B88">
      <w:pPr>
        <w:spacing w:after="0" w:line="480" w:lineRule="auto"/>
        <w:jc w:val="center"/>
        <w:rPr>
          <w:rFonts w:eastAsia="Times New Roman" w:cs="Times New Roman"/>
          <w:color w:val="0E101A"/>
          <w:szCs w:val="24"/>
        </w:rPr>
      </w:pPr>
      <w:r w:rsidRPr="003D0FCD">
        <w:rPr>
          <w:rFonts w:eastAsia="Times New Roman" w:cs="Times New Roman"/>
          <w:b/>
          <w:bCs/>
          <w:color w:val="0E101A"/>
          <w:szCs w:val="24"/>
        </w:rPr>
        <w:lastRenderedPageBreak/>
        <w:t>Technical safeguards</w:t>
      </w:r>
    </w:p>
    <w:p w14:paraId="3EFE13AE" w14:textId="77777777" w:rsidR="003D0FCD" w:rsidRPr="003D0FCD" w:rsidRDefault="003D0FCD" w:rsidP="00965B88">
      <w:pPr>
        <w:spacing w:after="0" w:line="480" w:lineRule="auto"/>
        <w:ind w:firstLine="720"/>
        <w:rPr>
          <w:rFonts w:eastAsia="Times New Roman" w:cs="Times New Roman"/>
          <w:color w:val="0E101A"/>
          <w:szCs w:val="24"/>
        </w:rPr>
      </w:pPr>
      <w:r w:rsidRPr="003D0FCD">
        <w:rPr>
          <w:rFonts w:eastAsia="Times New Roman" w:cs="Times New Roman"/>
          <w:color w:val="0E101A"/>
          <w:szCs w:val="24"/>
        </w:rPr>
        <w:t>These are confined to the technical aspect of applying the security and privacy rule of the HIPAA to prevent violations. In this (HHS.GOV, 2020), access and audit controls must be applied to ensure only authorized people can gain access to e-PHI and ensure both hardware and software and procedural mechanisms are implemented, which are useful in recording and examination of access among other activities that relate to e-PHI.</w:t>
      </w:r>
    </w:p>
    <w:p w14:paraId="32C534D5" w14:textId="77777777" w:rsidR="002B2ADA" w:rsidRDefault="002B2ADA" w:rsidP="00965B88">
      <w:pPr>
        <w:spacing w:after="0" w:line="480" w:lineRule="auto"/>
        <w:jc w:val="center"/>
        <w:rPr>
          <w:rFonts w:eastAsia="Times New Roman" w:cs="Times New Roman"/>
          <w:b/>
          <w:bCs/>
          <w:color w:val="0E101A"/>
          <w:szCs w:val="24"/>
        </w:rPr>
      </w:pPr>
    </w:p>
    <w:p w14:paraId="3445BF98" w14:textId="37437AA7" w:rsidR="003D0FCD" w:rsidRPr="003D0FCD" w:rsidRDefault="003D0FCD" w:rsidP="00965B88">
      <w:pPr>
        <w:spacing w:after="0" w:line="480" w:lineRule="auto"/>
        <w:jc w:val="center"/>
        <w:rPr>
          <w:rFonts w:eastAsia="Times New Roman" w:cs="Times New Roman"/>
          <w:color w:val="0E101A"/>
          <w:szCs w:val="24"/>
        </w:rPr>
      </w:pPr>
      <w:r w:rsidRPr="003D0FCD">
        <w:rPr>
          <w:rFonts w:eastAsia="Times New Roman" w:cs="Times New Roman"/>
          <w:b/>
          <w:bCs/>
          <w:color w:val="0E101A"/>
          <w:szCs w:val="24"/>
        </w:rPr>
        <w:t>Role of Patient Safety Officer (PSO)</w:t>
      </w:r>
    </w:p>
    <w:p w14:paraId="6E67EE41" w14:textId="77777777" w:rsidR="00965B88" w:rsidRDefault="003D0FCD" w:rsidP="00965B88">
      <w:pPr>
        <w:spacing w:after="0" w:line="480" w:lineRule="auto"/>
        <w:ind w:firstLine="720"/>
        <w:rPr>
          <w:rFonts w:eastAsia="Times New Roman" w:cs="Times New Roman"/>
          <w:color w:val="0E101A"/>
          <w:szCs w:val="24"/>
        </w:rPr>
      </w:pPr>
      <w:r w:rsidRPr="003D0FCD">
        <w:rPr>
          <w:rFonts w:eastAsia="Times New Roman" w:cs="Times New Roman"/>
          <w:color w:val="0E101A"/>
          <w:szCs w:val="24"/>
        </w:rPr>
        <w:t>The PSQIA has provisions on how to establish PSO who receive reports on patient safety concerns. The PSO’s extent is to collect and analyze PHI and assess if there is compliance with the HIPAA guidelines. The OCR works in conjunction with the PSO to ensure compliance with the HIPAA regulations. These officers ensure that patient data is stored as elaborated in the PSQIA and HIPAA guidelines of security and privacy to prevent breaches to patient records that could be detrimental to the organization and patients’ safety(</w:t>
      </w:r>
      <w:proofErr w:type="spellStart"/>
      <w:r w:rsidRPr="003D0FCD">
        <w:rPr>
          <w:rFonts w:eastAsia="Times New Roman" w:cs="Times New Roman"/>
          <w:color w:val="0E101A"/>
          <w:szCs w:val="24"/>
        </w:rPr>
        <w:t>Gostin</w:t>
      </w:r>
      <w:proofErr w:type="spellEnd"/>
      <w:r w:rsidRPr="003D0FCD">
        <w:rPr>
          <w:rFonts w:eastAsia="Times New Roman" w:cs="Times New Roman"/>
          <w:color w:val="0E101A"/>
          <w:szCs w:val="24"/>
        </w:rPr>
        <w:t xml:space="preserve">, </w:t>
      </w:r>
      <w:proofErr w:type="spellStart"/>
      <w:r w:rsidRPr="003D0FCD">
        <w:rPr>
          <w:rFonts w:eastAsia="Times New Roman" w:cs="Times New Roman"/>
          <w:color w:val="0E101A"/>
          <w:szCs w:val="24"/>
        </w:rPr>
        <w:t>Levit</w:t>
      </w:r>
      <w:proofErr w:type="spellEnd"/>
      <w:r w:rsidRPr="003D0FCD">
        <w:rPr>
          <w:rFonts w:eastAsia="Times New Roman" w:cs="Times New Roman"/>
          <w:color w:val="0E101A"/>
          <w:szCs w:val="24"/>
        </w:rPr>
        <w:t xml:space="preserve">, &amp; Nass, 2009). </w:t>
      </w:r>
    </w:p>
    <w:p w14:paraId="72D40BB3" w14:textId="7E71CA39" w:rsidR="003D0FCD" w:rsidRPr="003D0FCD" w:rsidRDefault="003D0FCD" w:rsidP="00965B88">
      <w:pPr>
        <w:spacing w:after="0" w:line="480" w:lineRule="auto"/>
        <w:ind w:firstLine="720"/>
        <w:rPr>
          <w:rFonts w:eastAsia="Times New Roman" w:cs="Times New Roman"/>
          <w:color w:val="0E101A"/>
          <w:szCs w:val="24"/>
        </w:rPr>
      </w:pPr>
      <w:r w:rsidRPr="003D0FCD">
        <w:rPr>
          <w:rFonts w:eastAsia="Times New Roman" w:cs="Times New Roman"/>
          <w:color w:val="0E101A"/>
          <w:szCs w:val="24"/>
        </w:rPr>
        <w:t>PSOs must ensure that the healthcare institution has understood and appropriately interpreted the guidelines and put measures in place (administrative, physical, and technical safeguards) to prevent breaches. They also work with management when performing risk analyses to ensure that patient safety is given top priority within the organization. They also ensure that employees in health institutions adhere to security guidelines, such as controlling access to e-PHI data.</w:t>
      </w:r>
    </w:p>
    <w:p w14:paraId="4BD1B7EE" w14:textId="77777777" w:rsidR="003D0FCD" w:rsidRPr="003D0FCD" w:rsidRDefault="003D0FCD" w:rsidP="00965B88">
      <w:pPr>
        <w:spacing w:after="0" w:line="480" w:lineRule="auto"/>
        <w:jc w:val="center"/>
        <w:rPr>
          <w:rFonts w:eastAsia="Times New Roman" w:cs="Times New Roman"/>
          <w:color w:val="0E101A"/>
          <w:szCs w:val="24"/>
        </w:rPr>
      </w:pPr>
      <w:r w:rsidRPr="003D0FCD">
        <w:rPr>
          <w:rFonts w:eastAsia="Times New Roman" w:cs="Times New Roman"/>
          <w:b/>
          <w:bCs/>
          <w:color w:val="0E101A"/>
          <w:szCs w:val="24"/>
        </w:rPr>
        <w:t>Recommendations</w:t>
      </w:r>
    </w:p>
    <w:p w14:paraId="478A0080" w14:textId="77777777" w:rsidR="003D0FCD" w:rsidRPr="003D0FCD" w:rsidRDefault="003D0FCD" w:rsidP="003D0FCD">
      <w:pPr>
        <w:spacing w:after="0" w:line="480" w:lineRule="auto"/>
        <w:rPr>
          <w:rFonts w:eastAsia="Times New Roman" w:cs="Times New Roman"/>
          <w:color w:val="0E101A"/>
          <w:szCs w:val="24"/>
        </w:rPr>
      </w:pPr>
      <w:r w:rsidRPr="003D0FCD">
        <w:rPr>
          <w:rFonts w:eastAsia="Times New Roman" w:cs="Times New Roman"/>
          <w:color w:val="0E101A"/>
          <w:szCs w:val="24"/>
        </w:rPr>
        <w:t>This report offers the following recommendations.</w:t>
      </w:r>
    </w:p>
    <w:p w14:paraId="1441FC94" w14:textId="77777777" w:rsidR="003D0FCD" w:rsidRPr="003D0FCD" w:rsidRDefault="003D0FCD" w:rsidP="003D0FCD">
      <w:pPr>
        <w:numPr>
          <w:ilvl w:val="0"/>
          <w:numId w:val="4"/>
        </w:numPr>
        <w:spacing w:after="0" w:line="480" w:lineRule="auto"/>
        <w:rPr>
          <w:rFonts w:eastAsia="Times New Roman" w:cs="Times New Roman"/>
          <w:color w:val="0E101A"/>
          <w:szCs w:val="24"/>
        </w:rPr>
      </w:pPr>
      <w:r w:rsidRPr="003D0FCD">
        <w:rPr>
          <w:rFonts w:eastAsia="Times New Roman" w:cs="Times New Roman"/>
          <w:color w:val="0E101A"/>
          <w:szCs w:val="24"/>
        </w:rPr>
        <w:t>Use encryption and other technical practices to enhance data security.</w:t>
      </w:r>
    </w:p>
    <w:p w14:paraId="42837795" w14:textId="77777777" w:rsidR="003D0FCD" w:rsidRPr="003D0FCD" w:rsidRDefault="003D0FCD" w:rsidP="003D0FCD">
      <w:pPr>
        <w:numPr>
          <w:ilvl w:val="0"/>
          <w:numId w:val="4"/>
        </w:numPr>
        <w:spacing w:after="0" w:line="480" w:lineRule="auto"/>
        <w:rPr>
          <w:rFonts w:eastAsia="Times New Roman" w:cs="Times New Roman"/>
          <w:color w:val="0E101A"/>
          <w:szCs w:val="24"/>
        </w:rPr>
      </w:pPr>
      <w:r w:rsidRPr="003D0FCD">
        <w:rPr>
          <w:rFonts w:eastAsia="Times New Roman" w:cs="Times New Roman"/>
          <w:color w:val="0E101A"/>
          <w:szCs w:val="24"/>
        </w:rPr>
        <w:lastRenderedPageBreak/>
        <w:t>The institution should ensure to include security experts on IRBs</w:t>
      </w:r>
    </w:p>
    <w:p w14:paraId="488F6359" w14:textId="77777777" w:rsidR="003D0FCD" w:rsidRPr="003D0FCD" w:rsidRDefault="003D0FCD" w:rsidP="003D0FCD">
      <w:pPr>
        <w:numPr>
          <w:ilvl w:val="0"/>
          <w:numId w:val="4"/>
        </w:numPr>
        <w:spacing w:after="0" w:line="480" w:lineRule="auto"/>
        <w:rPr>
          <w:rFonts w:eastAsia="Times New Roman" w:cs="Times New Roman"/>
          <w:color w:val="0E101A"/>
          <w:szCs w:val="24"/>
        </w:rPr>
      </w:pPr>
      <w:r w:rsidRPr="003D0FCD">
        <w:rPr>
          <w:rFonts w:eastAsia="Times New Roman" w:cs="Times New Roman"/>
          <w:color w:val="0E101A"/>
          <w:szCs w:val="24"/>
        </w:rPr>
        <w:t>There should be a breach notification requirement where patients can take necessary steps to protect their identity when another similar event occurs.</w:t>
      </w:r>
    </w:p>
    <w:p w14:paraId="3FE32D77" w14:textId="77777777" w:rsidR="003D0FCD" w:rsidRPr="003D0FCD" w:rsidRDefault="003D0FCD" w:rsidP="003D0FCD">
      <w:pPr>
        <w:numPr>
          <w:ilvl w:val="0"/>
          <w:numId w:val="4"/>
        </w:numPr>
        <w:spacing w:after="0" w:line="480" w:lineRule="auto"/>
        <w:rPr>
          <w:rFonts w:eastAsia="Times New Roman" w:cs="Times New Roman"/>
          <w:color w:val="0E101A"/>
          <w:szCs w:val="24"/>
        </w:rPr>
      </w:pPr>
      <w:r w:rsidRPr="003D0FCD">
        <w:rPr>
          <w:rFonts w:eastAsia="Times New Roman" w:cs="Times New Roman"/>
          <w:color w:val="0E101A"/>
          <w:szCs w:val="24"/>
        </w:rPr>
        <w:t>To eliminate vulnerable single points, there should be the implementation of security layers protection that would prevent future security breaches.</w:t>
      </w:r>
    </w:p>
    <w:p w14:paraId="095409CC" w14:textId="77777777" w:rsidR="003D0FCD" w:rsidRPr="003D0FCD" w:rsidRDefault="003D0FCD" w:rsidP="003D0FCD">
      <w:pPr>
        <w:spacing w:after="0" w:line="480" w:lineRule="auto"/>
        <w:rPr>
          <w:rFonts w:eastAsia="Times New Roman" w:cs="Times New Roman"/>
          <w:color w:val="0E101A"/>
          <w:szCs w:val="24"/>
        </w:rPr>
      </w:pPr>
    </w:p>
    <w:p w14:paraId="7808893C" w14:textId="77777777" w:rsidR="003D0FCD" w:rsidRPr="003D0FCD" w:rsidRDefault="003D0FCD" w:rsidP="003D0FCD">
      <w:pPr>
        <w:spacing w:after="0" w:line="480" w:lineRule="auto"/>
        <w:rPr>
          <w:rFonts w:eastAsia="Times New Roman" w:cs="Times New Roman"/>
          <w:color w:val="0E101A"/>
          <w:szCs w:val="24"/>
        </w:rPr>
      </w:pPr>
    </w:p>
    <w:p w14:paraId="7A85B07D" w14:textId="6C92419C" w:rsidR="003D0FCD" w:rsidRDefault="003D0FCD" w:rsidP="003D0FCD">
      <w:pPr>
        <w:spacing w:after="0" w:line="480" w:lineRule="auto"/>
        <w:rPr>
          <w:rFonts w:eastAsia="Times New Roman" w:cs="Times New Roman"/>
          <w:color w:val="0E101A"/>
          <w:szCs w:val="24"/>
        </w:rPr>
      </w:pPr>
    </w:p>
    <w:p w14:paraId="41EBEDB1" w14:textId="130A680F" w:rsidR="00695AF1" w:rsidRDefault="00695AF1" w:rsidP="003D0FCD">
      <w:pPr>
        <w:spacing w:after="0" w:line="480" w:lineRule="auto"/>
        <w:rPr>
          <w:rFonts w:eastAsia="Times New Roman" w:cs="Times New Roman"/>
          <w:color w:val="0E101A"/>
          <w:szCs w:val="24"/>
        </w:rPr>
      </w:pPr>
    </w:p>
    <w:p w14:paraId="1146C93D" w14:textId="63A2EF11" w:rsidR="00695AF1" w:rsidRDefault="00695AF1" w:rsidP="003D0FCD">
      <w:pPr>
        <w:spacing w:after="0" w:line="480" w:lineRule="auto"/>
        <w:rPr>
          <w:rFonts w:eastAsia="Times New Roman" w:cs="Times New Roman"/>
          <w:color w:val="0E101A"/>
          <w:szCs w:val="24"/>
        </w:rPr>
      </w:pPr>
    </w:p>
    <w:p w14:paraId="7CBA4B12" w14:textId="11DEE0F6" w:rsidR="00695AF1" w:rsidRDefault="00695AF1" w:rsidP="003D0FCD">
      <w:pPr>
        <w:spacing w:after="0" w:line="480" w:lineRule="auto"/>
        <w:rPr>
          <w:rFonts w:eastAsia="Times New Roman" w:cs="Times New Roman"/>
          <w:color w:val="0E101A"/>
          <w:szCs w:val="24"/>
        </w:rPr>
      </w:pPr>
    </w:p>
    <w:p w14:paraId="2E68F4BE" w14:textId="0B81D96B" w:rsidR="00695AF1" w:rsidRDefault="00695AF1" w:rsidP="003D0FCD">
      <w:pPr>
        <w:spacing w:after="0" w:line="480" w:lineRule="auto"/>
        <w:rPr>
          <w:rFonts w:eastAsia="Times New Roman" w:cs="Times New Roman"/>
          <w:color w:val="0E101A"/>
          <w:szCs w:val="24"/>
        </w:rPr>
      </w:pPr>
    </w:p>
    <w:p w14:paraId="0F7EA0C9" w14:textId="07EAFA5E" w:rsidR="00695AF1" w:rsidRDefault="00695AF1" w:rsidP="003D0FCD">
      <w:pPr>
        <w:spacing w:after="0" w:line="480" w:lineRule="auto"/>
        <w:rPr>
          <w:rFonts w:eastAsia="Times New Roman" w:cs="Times New Roman"/>
          <w:color w:val="0E101A"/>
          <w:szCs w:val="24"/>
        </w:rPr>
      </w:pPr>
    </w:p>
    <w:p w14:paraId="5C93963A" w14:textId="24F7241C" w:rsidR="00695AF1" w:rsidRDefault="00695AF1" w:rsidP="003D0FCD">
      <w:pPr>
        <w:spacing w:after="0" w:line="480" w:lineRule="auto"/>
        <w:rPr>
          <w:rFonts w:eastAsia="Times New Roman" w:cs="Times New Roman"/>
          <w:color w:val="0E101A"/>
          <w:szCs w:val="24"/>
        </w:rPr>
      </w:pPr>
    </w:p>
    <w:p w14:paraId="3831155F" w14:textId="4E0DB720" w:rsidR="00695AF1" w:rsidRDefault="00695AF1" w:rsidP="003D0FCD">
      <w:pPr>
        <w:spacing w:after="0" w:line="480" w:lineRule="auto"/>
        <w:rPr>
          <w:rFonts w:eastAsia="Times New Roman" w:cs="Times New Roman"/>
          <w:color w:val="0E101A"/>
          <w:szCs w:val="24"/>
        </w:rPr>
      </w:pPr>
    </w:p>
    <w:p w14:paraId="7F3729C0" w14:textId="0249B6DF" w:rsidR="00695AF1" w:rsidRDefault="00695AF1" w:rsidP="003D0FCD">
      <w:pPr>
        <w:spacing w:after="0" w:line="480" w:lineRule="auto"/>
        <w:rPr>
          <w:rFonts w:eastAsia="Times New Roman" w:cs="Times New Roman"/>
          <w:color w:val="0E101A"/>
          <w:szCs w:val="24"/>
        </w:rPr>
      </w:pPr>
    </w:p>
    <w:p w14:paraId="60F92FE6" w14:textId="52AF6ECF" w:rsidR="00695AF1" w:rsidRDefault="00695AF1" w:rsidP="003D0FCD">
      <w:pPr>
        <w:spacing w:after="0" w:line="480" w:lineRule="auto"/>
        <w:rPr>
          <w:rFonts w:eastAsia="Times New Roman" w:cs="Times New Roman"/>
          <w:color w:val="0E101A"/>
          <w:szCs w:val="24"/>
        </w:rPr>
      </w:pPr>
    </w:p>
    <w:p w14:paraId="2F3AED64" w14:textId="02B1E847" w:rsidR="00695AF1" w:rsidRDefault="00695AF1" w:rsidP="003D0FCD">
      <w:pPr>
        <w:spacing w:after="0" w:line="480" w:lineRule="auto"/>
        <w:rPr>
          <w:rFonts w:eastAsia="Times New Roman" w:cs="Times New Roman"/>
          <w:color w:val="0E101A"/>
          <w:szCs w:val="24"/>
        </w:rPr>
      </w:pPr>
    </w:p>
    <w:p w14:paraId="7E28A230" w14:textId="77E306B2" w:rsidR="00695AF1" w:rsidRDefault="00695AF1" w:rsidP="003D0FCD">
      <w:pPr>
        <w:spacing w:after="0" w:line="480" w:lineRule="auto"/>
        <w:rPr>
          <w:rFonts w:eastAsia="Times New Roman" w:cs="Times New Roman"/>
          <w:color w:val="0E101A"/>
          <w:szCs w:val="24"/>
        </w:rPr>
      </w:pPr>
    </w:p>
    <w:p w14:paraId="5B84C3C9" w14:textId="0F57F03B" w:rsidR="00695AF1" w:rsidRDefault="00695AF1" w:rsidP="003D0FCD">
      <w:pPr>
        <w:spacing w:after="0" w:line="480" w:lineRule="auto"/>
        <w:rPr>
          <w:rFonts w:eastAsia="Times New Roman" w:cs="Times New Roman"/>
          <w:color w:val="0E101A"/>
          <w:szCs w:val="24"/>
        </w:rPr>
      </w:pPr>
    </w:p>
    <w:p w14:paraId="3BA7C4BA" w14:textId="2E32DD60" w:rsidR="00695AF1" w:rsidRDefault="00695AF1" w:rsidP="003D0FCD">
      <w:pPr>
        <w:spacing w:after="0" w:line="480" w:lineRule="auto"/>
        <w:rPr>
          <w:rFonts w:eastAsia="Times New Roman" w:cs="Times New Roman"/>
          <w:color w:val="0E101A"/>
          <w:szCs w:val="24"/>
        </w:rPr>
      </w:pPr>
    </w:p>
    <w:p w14:paraId="7063827D" w14:textId="77777777" w:rsidR="00695AF1" w:rsidRPr="003D0FCD" w:rsidRDefault="00695AF1" w:rsidP="003D0FCD">
      <w:pPr>
        <w:spacing w:after="0" w:line="480" w:lineRule="auto"/>
        <w:rPr>
          <w:rFonts w:eastAsia="Times New Roman" w:cs="Times New Roman"/>
          <w:color w:val="0E101A"/>
          <w:szCs w:val="24"/>
        </w:rPr>
      </w:pPr>
    </w:p>
    <w:p w14:paraId="007C64A3" w14:textId="77777777" w:rsidR="00E9502E" w:rsidRPr="003D0FCD" w:rsidRDefault="00E9502E" w:rsidP="00965B88">
      <w:pPr>
        <w:spacing w:after="0" w:line="480" w:lineRule="auto"/>
        <w:rPr>
          <w:rFonts w:cs="Times New Roman"/>
          <w:szCs w:val="24"/>
        </w:rPr>
      </w:pPr>
    </w:p>
    <w:p w14:paraId="3F2D7A03" w14:textId="77777777" w:rsidR="005D07F0" w:rsidRPr="003D0FCD" w:rsidRDefault="005D07F0" w:rsidP="003D0FCD">
      <w:pPr>
        <w:spacing w:after="0" w:line="480" w:lineRule="auto"/>
        <w:jc w:val="center"/>
        <w:rPr>
          <w:rFonts w:cs="Times New Roman"/>
          <w:szCs w:val="24"/>
        </w:rPr>
      </w:pPr>
      <w:r w:rsidRPr="003D0FCD">
        <w:rPr>
          <w:rFonts w:cs="Times New Roman"/>
          <w:szCs w:val="24"/>
        </w:rPr>
        <w:lastRenderedPageBreak/>
        <w:t>References</w:t>
      </w:r>
    </w:p>
    <w:p w14:paraId="63C08A9B" w14:textId="5E65DB55" w:rsidR="00695AF1" w:rsidRDefault="005D07F0" w:rsidP="003D0FCD">
      <w:pPr>
        <w:spacing w:after="0" w:line="480" w:lineRule="auto"/>
        <w:rPr>
          <w:rFonts w:cs="Times New Roman"/>
          <w:szCs w:val="24"/>
        </w:rPr>
      </w:pPr>
      <w:proofErr w:type="spellStart"/>
      <w:r w:rsidRPr="003D0FCD">
        <w:rPr>
          <w:rFonts w:cs="Times New Roman"/>
          <w:szCs w:val="24"/>
        </w:rPr>
        <w:t>Gostin</w:t>
      </w:r>
      <w:proofErr w:type="spellEnd"/>
      <w:r w:rsidRPr="003D0FCD">
        <w:rPr>
          <w:rFonts w:cs="Times New Roman"/>
          <w:szCs w:val="24"/>
        </w:rPr>
        <w:t xml:space="preserve">, L. O., </w:t>
      </w:r>
      <w:proofErr w:type="spellStart"/>
      <w:r w:rsidRPr="003D0FCD">
        <w:rPr>
          <w:rFonts w:cs="Times New Roman"/>
          <w:szCs w:val="24"/>
        </w:rPr>
        <w:t>Levit</w:t>
      </w:r>
      <w:proofErr w:type="spellEnd"/>
      <w:r w:rsidRPr="003D0FCD">
        <w:rPr>
          <w:rFonts w:cs="Times New Roman"/>
          <w:szCs w:val="24"/>
        </w:rPr>
        <w:t>, L. A., &amp; Nass, S. J. (Eds.). (2009).</w:t>
      </w:r>
      <w:r w:rsidR="00E9502E" w:rsidRPr="003D0FCD">
        <w:rPr>
          <w:rFonts w:cs="Times New Roman"/>
          <w:szCs w:val="24"/>
        </w:rPr>
        <w:t xml:space="preserve"> Beyond the HIPAA privacy rule:</w:t>
      </w:r>
      <w:r w:rsidR="00E9502E" w:rsidRPr="003D0FCD">
        <w:rPr>
          <w:rFonts w:cs="Times New Roman"/>
          <w:szCs w:val="24"/>
        </w:rPr>
        <w:tab/>
      </w:r>
      <w:r w:rsidRPr="003D0FCD">
        <w:rPr>
          <w:rFonts w:cs="Times New Roman"/>
          <w:szCs w:val="24"/>
        </w:rPr>
        <w:t>enhancing privacy, improving health through research. National Academies Press.</w:t>
      </w:r>
    </w:p>
    <w:p w14:paraId="049C3754" w14:textId="77777777" w:rsidR="00695AF1" w:rsidRPr="003D0FCD" w:rsidRDefault="00695AF1" w:rsidP="003D0FCD">
      <w:pPr>
        <w:spacing w:after="0" w:line="480" w:lineRule="auto"/>
        <w:rPr>
          <w:rFonts w:cs="Times New Roman"/>
          <w:szCs w:val="24"/>
        </w:rPr>
      </w:pPr>
    </w:p>
    <w:p w14:paraId="1A42428D" w14:textId="50E5D55F" w:rsidR="005D07F0" w:rsidRDefault="005D07F0" w:rsidP="003D0FCD">
      <w:pPr>
        <w:spacing w:after="0" w:line="480" w:lineRule="auto"/>
        <w:rPr>
          <w:rStyle w:val="Hyperlink"/>
          <w:rFonts w:cs="Times New Roman"/>
          <w:szCs w:val="24"/>
        </w:rPr>
      </w:pPr>
      <w:r w:rsidRPr="003D0FCD">
        <w:rPr>
          <w:rFonts w:cs="Times New Roman"/>
          <w:szCs w:val="24"/>
        </w:rPr>
        <w:t>HIPAAJOURNAL.com. (2020). HIPAA violation cases. Retrieve from:</w:t>
      </w:r>
      <w:r w:rsidR="00E9502E" w:rsidRPr="003D0FCD">
        <w:rPr>
          <w:rFonts w:cs="Times New Roman"/>
          <w:szCs w:val="24"/>
        </w:rPr>
        <w:tab/>
      </w:r>
      <w:hyperlink r:id="rId8" w:history="1">
        <w:r w:rsidRPr="003D0FCD">
          <w:rPr>
            <w:rStyle w:val="Hyperlink"/>
            <w:rFonts w:cs="Times New Roman"/>
            <w:szCs w:val="24"/>
          </w:rPr>
          <w:t>https://www.hipaajournal.com/hipaa-violation-cases/</w:t>
        </w:r>
      </w:hyperlink>
    </w:p>
    <w:p w14:paraId="1C3783A4" w14:textId="77777777" w:rsidR="00695AF1" w:rsidRDefault="00695AF1" w:rsidP="003D0FCD">
      <w:pPr>
        <w:spacing w:after="0" w:line="480" w:lineRule="auto"/>
        <w:rPr>
          <w:rStyle w:val="Hyperlink"/>
          <w:rFonts w:cs="Times New Roman"/>
          <w:szCs w:val="24"/>
        </w:rPr>
      </w:pPr>
    </w:p>
    <w:p w14:paraId="33DC2CFD" w14:textId="20B6BA6E" w:rsidR="00695AF1" w:rsidRPr="00695AF1" w:rsidRDefault="00695AF1" w:rsidP="00695AF1">
      <w:pPr>
        <w:pStyle w:val="Bibliography"/>
        <w:ind w:left="720" w:hanging="720"/>
        <w:rPr>
          <w:noProof/>
        </w:rPr>
      </w:pPr>
      <w:r>
        <w:rPr>
          <w:rFonts w:cs="Times New Roman"/>
          <w:szCs w:val="24"/>
        </w:rPr>
        <w:fldChar w:fldCharType="begin"/>
      </w:r>
      <w:r>
        <w:rPr>
          <w:rFonts w:cs="Times New Roman"/>
          <w:szCs w:val="24"/>
        </w:rPr>
        <w:instrText xml:space="preserve"> BIBLIOGRAPHY  \l 1033 </w:instrText>
      </w:r>
      <w:r>
        <w:rPr>
          <w:rFonts w:cs="Times New Roman"/>
          <w:szCs w:val="24"/>
        </w:rPr>
        <w:fldChar w:fldCharType="separate"/>
      </w:r>
      <w:r>
        <w:rPr>
          <w:noProof/>
        </w:rPr>
        <w:t xml:space="preserve">HIPAA. (2007, March 04). Security standards: Physical safeguards. </w:t>
      </w:r>
      <w:r>
        <w:rPr>
          <w:i/>
          <w:iCs/>
          <w:noProof/>
        </w:rPr>
        <w:t>HIPAA Security Series, 2</w:t>
      </w:r>
      <w:r>
        <w:rPr>
          <w:noProof/>
        </w:rPr>
        <w:t>. Retrieved from https://www.hhs.gov/sites/default/files/ocr/privacy/hipaa/administrative/securityrule/physsafeguards.pdf</w:t>
      </w:r>
    </w:p>
    <w:p w14:paraId="322EA9E5" w14:textId="040F1002" w:rsidR="00695AF1" w:rsidRPr="003D0FCD" w:rsidRDefault="00695AF1" w:rsidP="00695AF1">
      <w:pPr>
        <w:spacing w:after="0" w:line="480" w:lineRule="auto"/>
        <w:rPr>
          <w:rFonts w:cs="Times New Roman"/>
          <w:szCs w:val="24"/>
        </w:rPr>
      </w:pPr>
      <w:r>
        <w:rPr>
          <w:rFonts w:cs="Times New Roman"/>
          <w:szCs w:val="24"/>
        </w:rPr>
        <w:fldChar w:fldCharType="end"/>
      </w:r>
    </w:p>
    <w:p w14:paraId="7AFFD5AA" w14:textId="77777777" w:rsidR="005D07F0" w:rsidRPr="003D0FCD" w:rsidRDefault="005D07F0" w:rsidP="003D0FCD">
      <w:pPr>
        <w:spacing w:after="0" w:line="480" w:lineRule="auto"/>
        <w:rPr>
          <w:rFonts w:cs="Times New Roman"/>
          <w:szCs w:val="24"/>
        </w:rPr>
      </w:pPr>
      <w:r w:rsidRPr="003D0FCD">
        <w:rPr>
          <w:rFonts w:cs="Times New Roman"/>
          <w:szCs w:val="24"/>
        </w:rPr>
        <w:t>HHS.GOV. (2020). Summary of the HIPAA security rule. Retrieved from:</w:t>
      </w:r>
      <w:r w:rsidR="00E9502E" w:rsidRPr="003D0FCD">
        <w:rPr>
          <w:rFonts w:cs="Times New Roman"/>
          <w:szCs w:val="24"/>
        </w:rPr>
        <w:tab/>
      </w:r>
      <w:hyperlink r:id="rId9" w:history="1">
        <w:r w:rsidRPr="003D0FCD">
          <w:rPr>
            <w:rStyle w:val="Hyperlink"/>
            <w:rFonts w:cs="Times New Roman"/>
            <w:szCs w:val="24"/>
          </w:rPr>
          <w:t>https://www.hhs.gov/hipaa/for-professionals/security/laws-regulations/index.html</w:t>
        </w:r>
      </w:hyperlink>
    </w:p>
    <w:p w14:paraId="43B4CEAC" w14:textId="790CE0B1" w:rsidR="005D07F0" w:rsidRDefault="005D07F0" w:rsidP="003D0FCD">
      <w:pPr>
        <w:spacing w:after="0" w:line="480" w:lineRule="auto"/>
        <w:rPr>
          <w:rFonts w:cs="Times New Roman"/>
          <w:szCs w:val="24"/>
        </w:rPr>
      </w:pPr>
    </w:p>
    <w:p w14:paraId="7E14EF1E" w14:textId="76D63D1E" w:rsidR="00695AF1" w:rsidRPr="003D0FCD" w:rsidRDefault="00695AF1" w:rsidP="00695AF1">
      <w:pPr>
        <w:spacing w:after="0" w:line="480" w:lineRule="auto"/>
        <w:rPr>
          <w:rFonts w:cs="Times New Roman"/>
          <w:szCs w:val="24"/>
        </w:rPr>
      </w:pPr>
    </w:p>
    <w:sectPr w:rsidR="00695AF1" w:rsidRPr="003D0FCD" w:rsidSect="0086512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307C92" w14:textId="77777777" w:rsidR="007F5575" w:rsidRDefault="007F5575" w:rsidP="00865125">
      <w:pPr>
        <w:spacing w:after="0" w:line="240" w:lineRule="auto"/>
      </w:pPr>
      <w:r>
        <w:separator/>
      </w:r>
    </w:p>
  </w:endnote>
  <w:endnote w:type="continuationSeparator" w:id="0">
    <w:p w14:paraId="0A606E4A" w14:textId="77777777" w:rsidR="007F5575" w:rsidRDefault="007F5575" w:rsidP="00865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C1329E" w14:textId="77777777" w:rsidR="007F5575" w:rsidRDefault="007F5575" w:rsidP="00865125">
      <w:pPr>
        <w:spacing w:after="0" w:line="240" w:lineRule="auto"/>
      </w:pPr>
      <w:r>
        <w:separator/>
      </w:r>
    </w:p>
  </w:footnote>
  <w:footnote w:type="continuationSeparator" w:id="0">
    <w:p w14:paraId="047E3FAD" w14:textId="77777777" w:rsidR="007F5575" w:rsidRDefault="007F5575" w:rsidP="008651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121692" w14:textId="77777777" w:rsidR="00865125" w:rsidRDefault="00865125">
    <w:pPr>
      <w:pStyle w:val="Header"/>
      <w:jc w:val="right"/>
    </w:pPr>
    <w:r>
      <w:t>HIPAA VIOLATIONS AND COMPLIANCE</w:t>
    </w:r>
    <w:r>
      <w:tab/>
    </w:r>
    <w:r>
      <w:tab/>
    </w:r>
    <w:sdt>
      <w:sdtPr>
        <w:id w:val="484666594"/>
        <w:docPartObj>
          <w:docPartGallery w:val="Page Numbers (Top of Page)"/>
          <w:docPartUnique/>
        </w:docPartObj>
      </w:sdtPr>
      <w:sdtEndPr>
        <w:rPr>
          <w:noProof/>
        </w:rPr>
      </w:sdtEndPr>
      <w:sdtContent>
        <w:r w:rsidR="008903E1">
          <w:fldChar w:fldCharType="begin"/>
        </w:r>
        <w:r>
          <w:instrText xml:space="preserve"> PAGE   \* MERGEFORMAT </w:instrText>
        </w:r>
        <w:r w:rsidR="008903E1">
          <w:fldChar w:fldCharType="separate"/>
        </w:r>
        <w:r w:rsidR="00E9502E">
          <w:rPr>
            <w:noProof/>
          </w:rPr>
          <w:t>4</w:t>
        </w:r>
        <w:r w:rsidR="008903E1">
          <w:rPr>
            <w:noProof/>
          </w:rPr>
          <w:fldChar w:fldCharType="end"/>
        </w:r>
      </w:sdtContent>
    </w:sdt>
  </w:p>
  <w:p w14:paraId="1EF8ACF8" w14:textId="77777777" w:rsidR="00865125" w:rsidRDefault="008651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BF0DEC" w14:textId="77777777" w:rsidR="00865125" w:rsidRDefault="00865125">
    <w:pPr>
      <w:pStyle w:val="Header"/>
      <w:jc w:val="right"/>
    </w:pPr>
    <w:r>
      <w:t>Running head: HIPAA VIOLATIONS AND COMPLIANCE</w:t>
    </w:r>
    <w:r>
      <w:tab/>
    </w:r>
    <w:sdt>
      <w:sdtPr>
        <w:id w:val="-1663316807"/>
        <w:docPartObj>
          <w:docPartGallery w:val="Page Numbers (Top of Page)"/>
          <w:docPartUnique/>
        </w:docPartObj>
      </w:sdtPr>
      <w:sdtEndPr>
        <w:rPr>
          <w:noProof/>
        </w:rPr>
      </w:sdtEndPr>
      <w:sdtContent>
        <w:r w:rsidR="008903E1">
          <w:fldChar w:fldCharType="begin"/>
        </w:r>
        <w:r>
          <w:instrText xml:space="preserve"> PAGE   \* MERGEFORMAT </w:instrText>
        </w:r>
        <w:r w:rsidR="008903E1">
          <w:fldChar w:fldCharType="separate"/>
        </w:r>
        <w:r w:rsidR="00E9502E">
          <w:rPr>
            <w:noProof/>
          </w:rPr>
          <w:t>1</w:t>
        </w:r>
        <w:r w:rsidR="008903E1">
          <w:rPr>
            <w:noProof/>
          </w:rPr>
          <w:fldChar w:fldCharType="end"/>
        </w:r>
      </w:sdtContent>
    </w:sdt>
  </w:p>
  <w:p w14:paraId="2285CFC2" w14:textId="77777777" w:rsidR="00865125" w:rsidRDefault="008651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5E1E77"/>
    <w:multiLevelType w:val="hybridMultilevel"/>
    <w:tmpl w:val="FBF6B9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E81003"/>
    <w:multiLevelType w:val="multilevel"/>
    <w:tmpl w:val="0A50E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C05A26"/>
    <w:multiLevelType w:val="hybridMultilevel"/>
    <w:tmpl w:val="5E5697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1B6479E"/>
    <w:multiLevelType w:val="multilevel"/>
    <w:tmpl w:val="99EC8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F183E"/>
    <w:rsid w:val="000B0AE2"/>
    <w:rsid w:val="000D08F5"/>
    <w:rsid w:val="002B2ADA"/>
    <w:rsid w:val="002F183E"/>
    <w:rsid w:val="00321E20"/>
    <w:rsid w:val="00336B84"/>
    <w:rsid w:val="003D0FCD"/>
    <w:rsid w:val="003F7BB2"/>
    <w:rsid w:val="00410AD8"/>
    <w:rsid w:val="004446D0"/>
    <w:rsid w:val="004B665E"/>
    <w:rsid w:val="005D07F0"/>
    <w:rsid w:val="00695AF1"/>
    <w:rsid w:val="00754E81"/>
    <w:rsid w:val="007F5575"/>
    <w:rsid w:val="00846C7E"/>
    <w:rsid w:val="00865125"/>
    <w:rsid w:val="008903E1"/>
    <w:rsid w:val="008A38C2"/>
    <w:rsid w:val="00965B88"/>
    <w:rsid w:val="009E411C"/>
    <w:rsid w:val="00A03505"/>
    <w:rsid w:val="00A22A9A"/>
    <w:rsid w:val="00A86A20"/>
    <w:rsid w:val="00B27480"/>
    <w:rsid w:val="00C74CEF"/>
    <w:rsid w:val="00E32352"/>
    <w:rsid w:val="00E6093F"/>
    <w:rsid w:val="00E9502E"/>
    <w:rsid w:val="00F35A6D"/>
    <w:rsid w:val="00F5294C"/>
    <w:rsid w:val="00F55533"/>
    <w:rsid w:val="00F679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87716"/>
  <w15:docId w15:val="{9BCCC351-2FBA-4E6A-8C71-D6DE2E5A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3E1"/>
  </w:style>
  <w:style w:type="paragraph" w:styleId="Heading1">
    <w:name w:val="heading 1"/>
    <w:basedOn w:val="Normal"/>
    <w:next w:val="Normal"/>
    <w:link w:val="Heading1Char"/>
    <w:uiPriority w:val="9"/>
    <w:qFormat/>
    <w:rsid w:val="00A86A20"/>
    <w:pPr>
      <w:keepNext/>
      <w:keepLines/>
      <w:spacing w:before="240" w:after="0"/>
      <w:outlineLvl w:val="0"/>
    </w:pPr>
    <w:rPr>
      <w:rFonts w:eastAsiaTheme="majorEastAsia" w:cstheme="majorBidi"/>
      <w:color w:val="2F5496" w:themeColor="accent1" w:themeShade="BF"/>
      <w:sz w:val="28"/>
      <w:szCs w:val="32"/>
    </w:rPr>
  </w:style>
  <w:style w:type="paragraph" w:styleId="Heading2">
    <w:name w:val="heading 2"/>
    <w:basedOn w:val="Normal"/>
    <w:next w:val="Normal"/>
    <w:link w:val="Heading2Char"/>
    <w:uiPriority w:val="9"/>
    <w:semiHidden/>
    <w:unhideWhenUsed/>
    <w:qFormat/>
    <w:rsid w:val="00A86A20"/>
    <w:pPr>
      <w:keepNext/>
      <w:keepLines/>
      <w:spacing w:before="40" w:after="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86A20"/>
    <w:pPr>
      <w:keepNext/>
      <w:keepLines/>
      <w:spacing w:before="40" w:after="0"/>
      <w:outlineLvl w:val="2"/>
    </w:pPr>
    <w:rPr>
      <w:rFonts w:eastAsiaTheme="majorEastAsia"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A20"/>
    <w:rPr>
      <w:rFonts w:eastAsiaTheme="majorEastAsia" w:cstheme="majorBidi"/>
      <w:color w:val="2F5496" w:themeColor="accent1" w:themeShade="BF"/>
      <w:sz w:val="28"/>
      <w:szCs w:val="32"/>
    </w:rPr>
  </w:style>
  <w:style w:type="character" w:customStyle="1" w:styleId="Heading2Char">
    <w:name w:val="Heading 2 Char"/>
    <w:basedOn w:val="DefaultParagraphFont"/>
    <w:link w:val="Heading2"/>
    <w:uiPriority w:val="9"/>
    <w:semiHidden/>
    <w:rsid w:val="00A86A20"/>
    <w:rPr>
      <w:rFonts w:eastAsiaTheme="majorEastAsia"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86A20"/>
    <w:rPr>
      <w:rFonts w:eastAsiaTheme="majorEastAsia" w:cstheme="majorBidi"/>
      <w:color w:val="1F3763" w:themeColor="accent1" w:themeShade="7F"/>
      <w:szCs w:val="24"/>
    </w:rPr>
  </w:style>
  <w:style w:type="paragraph" w:styleId="ListParagraph">
    <w:name w:val="List Paragraph"/>
    <w:basedOn w:val="Normal"/>
    <w:uiPriority w:val="34"/>
    <w:qFormat/>
    <w:rsid w:val="00F6794A"/>
    <w:pPr>
      <w:ind w:left="720"/>
      <w:contextualSpacing/>
    </w:pPr>
  </w:style>
  <w:style w:type="character" w:styleId="Hyperlink">
    <w:name w:val="Hyperlink"/>
    <w:basedOn w:val="DefaultParagraphFont"/>
    <w:uiPriority w:val="99"/>
    <w:semiHidden/>
    <w:unhideWhenUsed/>
    <w:rsid w:val="005D07F0"/>
    <w:rPr>
      <w:color w:val="0000FF"/>
      <w:u w:val="single"/>
    </w:rPr>
  </w:style>
  <w:style w:type="paragraph" w:styleId="Header">
    <w:name w:val="header"/>
    <w:basedOn w:val="Normal"/>
    <w:link w:val="HeaderChar"/>
    <w:uiPriority w:val="99"/>
    <w:unhideWhenUsed/>
    <w:rsid w:val="008651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125"/>
  </w:style>
  <w:style w:type="paragraph" w:styleId="Footer">
    <w:name w:val="footer"/>
    <w:basedOn w:val="Normal"/>
    <w:link w:val="FooterChar"/>
    <w:uiPriority w:val="99"/>
    <w:unhideWhenUsed/>
    <w:rsid w:val="008651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125"/>
  </w:style>
  <w:style w:type="paragraph" w:styleId="NormalWeb">
    <w:name w:val="Normal (Web)"/>
    <w:basedOn w:val="Normal"/>
    <w:uiPriority w:val="99"/>
    <w:semiHidden/>
    <w:unhideWhenUsed/>
    <w:rsid w:val="00E9502E"/>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E9502E"/>
    <w:rPr>
      <w:b/>
      <w:bCs/>
    </w:rPr>
  </w:style>
  <w:style w:type="paragraph" w:styleId="Bibliography">
    <w:name w:val="Bibliography"/>
    <w:basedOn w:val="Normal"/>
    <w:next w:val="Normal"/>
    <w:uiPriority w:val="37"/>
    <w:unhideWhenUsed/>
    <w:rsid w:val="00695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170202">
      <w:bodyDiv w:val="1"/>
      <w:marLeft w:val="0"/>
      <w:marRight w:val="0"/>
      <w:marTop w:val="0"/>
      <w:marBottom w:val="0"/>
      <w:divBdr>
        <w:top w:val="none" w:sz="0" w:space="0" w:color="auto"/>
        <w:left w:val="none" w:sz="0" w:space="0" w:color="auto"/>
        <w:bottom w:val="none" w:sz="0" w:space="0" w:color="auto"/>
        <w:right w:val="none" w:sz="0" w:space="0" w:color="auto"/>
      </w:divBdr>
    </w:div>
    <w:div w:id="344790470">
      <w:bodyDiv w:val="1"/>
      <w:marLeft w:val="0"/>
      <w:marRight w:val="0"/>
      <w:marTop w:val="0"/>
      <w:marBottom w:val="0"/>
      <w:divBdr>
        <w:top w:val="none" w:sz="0" w:space="0" w:color="auto"/>
        <w:left w:val="none" w:sz="0" w:space="0" w:color="auto"/>
        <w:bottom w:val="none" w:sz="0" w:space="0" w:color="auto"/>
        <w:right w:val="none" w:sz="0" w:space="0" w:color="auto"/>
      </w:divBdr>
    </w:div>
    <w:div w:id="918561034">
      <w:bodyDiv w:val="1"/>
      <w:marLeft w:val="0"/>
      <w:marRight w:val="0"/>
      <w:marTop w:val="0"/>
      <w:marBottom w:val="0"/>
      <w:divBdr>
        <w:top w:val="none" w:sz="0" w:space="0" w:color="auto"/>
        <w:left w:val="none" w:sz="0" w:space="0" w:color="auto"/>
        <w:bottom w:val="none" w:sz="0" w:space="0" w:color="auto"/>
        <w:right w:val="none" w:sz="0" w:space="0" w:color="auto"/>
      </w:divBdr>
    </w:div>
    <w:div w:id="966814081">
      <w:bodyDiv w:val="1"/>
      <w:marLeft w:val="0"/>
      <w:marRight w:val="0"/>
      <w:marTop w:val="0"/>
      <w:marBottom w:val="0"/>
      <w:divBdr>
        <w:top w:val="none" w:sz="0" w:space="0" w:color="auto"/>
        <w:left w:val="none" w:sz="0" w:space="0" w:color="auto"/>
        <w:bottom w:val="none" w:sz="0" w:space="0" w:color="auto"/>
        <w:right w:val="none" w:sz="0" w:space="0" w:color="auto"/>
      </w:divBdr>
    </w:div>
    <w:div w:id="1744797649">
      <w:bodyDiv w:val="1"/>
      <w:marLeft w:val="0"/>
      <w:marRight w:val="0"/>
      <w:marTop w:val="0"/>
      <w:marBottom w:val="0"/>
      <w:divBdr>
        <w:top w:val="none" w:sz="0" w:space="0" w:color="auto"/>
        <w:left w:val="none" w:sz="0" w:space="0" w:color="auto"/>
        <w:bottom w:val="none" w:sz="0" w:space="0" w:color="auto"/>
        <w:right w:val="none" w:sz="0" w:space="0" w:color="auto"/>
      </w:divBdr>
    </w:div>
    <w:div w:id="1766882402">
      <w:bodyDiv w:val="1"/>
      <w:marLeft w:val="0"/>
      <w:marRight w:val="0"/>
      <w:marTop w:val="0"/>
      <w:marBottom w:val="0"/>
      <w:divBdr>
        <w:top w:val="none" w:sz="0" w:space="0" w:color="auto"/>
        <w:left w:val="none" w:sz="0" w:space="0" w:color="auto"/>
        <w:bottom w:val="none" w:sz="0" w:space="0" w:color="auto"/>
        <w:right w:val="none" w:sz="0" w:space="0" w:color="auto"/>
      </w:divBdr>
    </w:div>
    <w:div w:id="188667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paajournal.com/hipaa-violation-cas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hs.gov/hipaa/for-professionals/security/laws-regulation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Sec07</b:Tag>
    <b:SourceType>JournalArticle</b:SourceType>
    <b:Guid>{F3BCD2CA-4C54-45AA-9067-483F8557694A}</b:Guid>
    <b:Title>Security standards: Physical safeguards</b:Title>
    <b:JournalName>HIPAA Security Series</b:JournalName>
    <b:Year>2007</b:Year>
    <b:Month>March</b:Month>
    <b:Day>04</b:Day>
    <b:Volume>2</b:Volume>
    <b:URL>https://www.hhs.gov/sites/default/files/ocr/privacy/hipaa/administrative/securityrule/physsafeguards.pdf</b:URL>
    <b:Author>
      <b:Author>
        <b:NameList>
          <b:Person>
            <b:Last>HIPAA</b:Last>
          </b:Person>
        </b:NameList>
      </b:Author>
    </b:Author>
    <b:RefOrder>1</b:RefOrder>
  </b:Source>
</b:Sources>
</file>

<file path=customXml/itemProps1.xml><?xml version="1.0" encoding="utf-8"?>
<ds:datastoreItem xmlns:ds="http://schemas.openxmlformats.org/officeDocument/2006/customXml" ds:itemID="{56BEADB5-919C-4383-9BF5-99C1906B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8</Pages>
  <Words>1513</Words>
  <Characters>8625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kapyenga</dc:creator>
  <cp:keywords/>
  <dc:description/>
  <cp:lastModifiedBy>Michael Appiah</cp:lastModifiedBy>
  <cp:revision>3</cp:revision>
  <dcterms:created xsi:type="dcterms:W3CDTF">2020-07-13T03:14:00Z</dcterms:created>
  <dcterms:modified xsi:type="dcterms:W3CDTF">2020-07-13T04:04:00Z</dcterms:modified>
</cp:coreProperties>
</file>